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207" w:rsidRDefault="007D00D5">
      <w:pPr>
        <w:rPr>
          <w:rFonts w:ascii="黑体" w:eastAsia="黑体" w:hAnsi="Times New Roman" w:cs="Times New Roman"/>
          <w:color w:val="000000" w:themeColor="text1"/>
          <w:szCs w:val="28"/>
          <w:shd w:val="clear" w:color="auto" w:fill="FFFFFF"/>
        </w:rPr>
      </w:pPr>
      <w:bookmarkStart w:id="0" w:name="OLE_LINK1"/>
      <w:r>
        <w:rPr>
          <w:rFonts w:ascii="黑体" w:eastAsia="黑体" w:hAnsi="Times New Roman" w:cs="Times New Roman" w:hint="eastAsia"/>
          <w:color w:val="000000" w:themeColor="text1"/>
          <w:szCs w:val="28"/>
          <w:shd w:val="clear" w:color="auto" w:fill="FFFFFF"/>
        </w:rPr>
        <w:t>附件</w:t>
      </w:r>
    </w:p>
    <w:p w:rsidR="00BA5207" w:rsidRDefault="007D00D5">
      <w:pPr>
        <w:jc w:val="center"/>
        <w:rPr>
          <w:rFonts w:ascii="方正小标宋_GBK" w:eastAsia="方正小标宋_GBK" w:hAnsi="Times New Roman" w:cs="Times New Roman"/>
          <w:color w:val="000000"/>
          <w:szCs w:val="28"/>
        </w:rPr>
      </w:pPr>
      <w:bookmarkStart w:id="1" w:name="OLE_LINK15"/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36"/>
          <w:sz w:val="32"/>
          <w:szCs w:val="32"/>
        </w:rPr>
        <w:t>黄山市青少年科技教育协会牌匾</w:t>
      </w:r>
      <w:bookmarkStart w:id="2" w:name="_GoBack"/>
      <w:bookmarkEnd w:id="2"/>
      <w:r>
        <w:rPr>
          <w:rFonts w:ascii="方正小标宋_GBK" w:eastAsia="方正小标宋_GBK" w:hAnsi="Times New Roman" w:cs="Times New Roman" w:hint="eastAsia"/>
          <w:bCs/>
          <w:color w:val="000000" w:themeColor="text1"/>
          <w:kern w:val="36"/>
          <w:sz w:val="32"/>
          <w:szCs w:val="32"/>
        </w:rPr>
        <w:t>和证件制作项目报价函</w:t>
      </w:r>
      <w:bookmarkEnd w:id="1"/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882"/>
        <w:gridCol w:w="2183"/>
        <w:gridCol w:w="720"/>
        <w:gridCol w:w="746"/>
        <w:gridCol w:w="1150"/>
        <w:gridCol w:w="1134"/>
      </w:tblGrid>
      <w:tr w:rsidR="00BA5207">
        <w:trPr>
          <w:trHeight w:val="793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报价供应商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全称</w:t>
            </w:r>
          </w:p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需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公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章）</w:t>
            </w:r>
          </w:p>
        </w:tc>
        <w:tc>
          <w:tcPr>
            <w:tcW w:w="4065" w:type="dxa"/>
            <w:gridSpan w:val="2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法人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代表</w:t>
            </w:r>
          </w:p>
        </w:tc>
        <w:tc>
          <w:tcPr>
            <w:tcW w:w="2284" w:type="dxa"/>
            <w:gridSpan w:val="2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207">
        <w:trPr>
          <w:trHeight w:val="748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供应商地址</w:t>
            </w:r>
          </w:p>
        </w:tc>
        <w:tc>
          <w:tcPr>
            <w:tcW w:w="7815" w:type="dxa"/>
            <w:gridSpan w:val="6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207">
        <w:trPr>
          <w:trHeight w:val="70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882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3" w:type="dxa"/>
            <w:gridSpan w:val="2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联系电话</w:t>
            </w:r>
          </w:p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（固定电话、手机）</w:t>
            </w:r>
          </w:p>
        </w:tc>
        <w:tc>
          <w:tcPr>
            <w:tcW w:w="3030" w:type="dxa"/>
            <w:gridSpan w:val="3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207">
        <w:trPr>
          <w:trHeight w:val="63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名　称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规格及技术参数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单价</w:t>
            </w:r>
          </w:p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合计</w:t>
            </w:r>
          </w:p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</w:tr>
      <w:tr w:rsidR="00BA5207">
        <w:trPr>
          <w:trHeight w:val="101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匾类型、数量和规格</w:t>
            </w:r>
            <w:bookmarkStart w:id="3" w:name="OLE_LINK5"/>
            <w:bookmarkStart w:id="4" w:name="OLE_LINK4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（见样图）</w:t>
            </w:r>
            <w:bookmarkEnd w:id="3"/>
            <w:bookmarkEnd w:id="4"/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长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600</w:t>
            </w:r>
            <w:bookmarkStart w:id="5" w:name="OLE_LINK7"/>
            <w:bookmarkStart w:id="6" w:name="OLE_LINK6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×</w:t>
            </w:r>
            <w:bookmarkEnd w:id="5"/>
            <w:bookmarkEnd w:id="6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×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mm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；表面堆金；可悬挂（背面带悬挂口），也可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以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旋转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方式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安装木质托柄作摆件。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207">
        <w:trPr>
          <w:trHeight w:val="699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证件类型、数量和规格（见样图）</w:t>
            </w:r>
          </w:p>
        </w:tc>
        <w:tc>
          <w:tcPr>
            <w:tcW w:w="4785" w:type="dxa"/>
            <w:gridSpan w:val="3"/>
            <w:shd w:val="clear" w:color="auto" w:fill="auto"/>
            <w:vAlign w:val="center"/>
          </w:tcPr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宽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90mm</w:t>
            </w:r>
            <w:bookmarkStart w:id="7" w:name="OLE_LINK10"/>
            <w:bookmarkStart w:id="8" w:name="OLE_LINK9"/>
            <w:bookmarkStart w:id="9" w:name="OLE_LINK8"/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×</w:t>
            </w:r>
            <w:bookmarkEnd w:id="7"/>
            <w:bookmarkEnd w:id="8"/>
            <w:bookmarkEnd w:id="9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60mm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（横板），蓝底，无芯片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PVC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材质。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、材质与工艺。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）原料质量：采用高纯度聚氯乙烯树脂，无杂质，透明度高，表面光滑平整，无气泡、凹凸或裂纹。（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）生产工艺：制作工艺精湛，边缘整齐，无毛刺，图案和文字印刷清晰，色彩鲜艳，无模糊或重影。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、物理性能。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）硬度与韧性：硬度适中，</w:t>
            </w:r>
            <w:r>
              <w:rPr>
                <w:rFonts w:ascii="宋体" w:eastAsia="宋体" w:cs="宋体" w:hint="eastAsia"/>
                <w:color w:val="000000" w:themeColor="text1"/>
                <w:sz w:val="22"/>
                <w:szCs w:val="22"/>
              </w:rPr>
              <w:t>200张，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表中数量据实结算，有一定的韧性，不易折断或变形。（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）耐化学性：能耐受一般的化学物质，不易被腐蚀或溶解。将少量常见溶剂（如酒精）滴在证件背面（非重要信息处），不会出现溶解或变色。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、安全与环保。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）有害物质含量：采用环保无毒的增塑剂和稳定剂，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VCM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（氯乙烯单体）含量低，对人体无害。（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）阻燃性能：具有一定的阻燃性，遇火燃烧缓慢，离火后能自熄。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、功能性。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）信息保存：能有效保护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个人信息，不易被篡改或损坏。采用先进的防伪技术，如激光防伪、水印等，增加证件的安全性。（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）耐用性：使用寿命长，不易老化、变色或褪色。在正常使用和保管的情况下，能保持良好的外观和功能。</w:t>
            </w:r>
          </w:p>
          <w:p w:rsidR="00BA5207" w:rsidRDefault="007D00D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、合</w:t>
            </w:r>
            <w:proofErr w:type="gramStart"/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规</w:t>
            </w:r>
            <w:proofErr w:type="gramEnd"/>
            <w:r>
              <w:rPr>
                <w:rFonts w:ascii="宋体" w:eastAsia="宋体" w:cs="宋体" w:hint="eastAsia"/>
                <w:b/>
                <w:color w:val="000000" w:themeColor="text1"/>
                <w:sz w:val="24"/>
                <w:szCs w:val="24"/>
              </w:rPr>
              <w:t>性。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符合标准：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PVC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证件为硬质聚氯乙烯（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PVC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）板材，符合</w:t>
            </w: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GB/T22789.1-2023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标准。</w:t>
            </w:r>
          </w:p>
          <w:p w:rsidR="00BA5207" w:rsidRDefault="007D00D5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cs="宋体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宋体" w:eastAsia="宋体" w:cs="宋体" w:hint="eastAsia"/>
                <w:color w:val="000000" w:themeColor="text1"/>
                <w:sz w:val="24"/>
                <w:szCs w:val="24"/>
              </w:rPr>
              <w:t>、证件表面采用微磨砂工艺。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1150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A5207" w:rsidRDefault="00BA5207"/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7815"/>
      </w:tblGrid>
      <w:tr w:rsidR="00BA5207">
        <w:trPr>
          <w:trHeight w:val="720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lastRenderedPageBreak/>
              <w:t>备注</w:t>
            </w:r>
          </w:p>
        </w:tc>
        <w:tc>
          <w:tcPr>
            <w:tcW w:w="7815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该项目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最高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控制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价：</w:t>
            </w: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¥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290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元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；成交供应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商制作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的牌匾和证件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效果图需事先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获得采购单位认可方可制作；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报价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含成本、税费和运输费等所有费用。</w:t>
            </w:r>
          </w:p>
        </w:tc>
      </w:tr>
      <w:tr w:rsidR="00BA5207">
        <w:trPr>
          <w:trHeight w:val="1161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售后服</w:t>
            </w:r>
          </w:p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务</w:t>
            </w:r>
            <w:proofErr w:type="gramEnd"/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815" w:type="dxa"/>
            <w:shd w:val="clear" w:color="auto" w:fill="auto"/>
            <w:vAlign w:val="center"/>
          </w:tcPr>
          <w:p w:rsidR="00BA5207" w:rsidRDefault="00BA5207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5207">
        <w:trPr>
          <w:trHeight w:val="70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供货时间</w:t>
            </w:r>
          </w:p>
        </w:tc>
        <w:tc>
          <w:tcPr>
            <w:tcW w:w="7815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17:00</w:t>
            </w:r>
            <w:r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前交货。</w:t>
            </w:r>
          </w:p>
        </w:tc>
      </w:tr>
      <w:tr w:rsidR="00BA5207">
        <w:trPr>
          <w:trHeight w:val="702"/>
          <w:jc w:val="center"/>
        </w:trPr>
        <w:tc>
          <w:tcPr>
            <w:tcW w:w="1690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815" w:type="dxa"/>
            <w:shd w:val="clear" w:color="auto" w:fill="auto"/>
            <w:vAlign w:val="center"/>
          </w:tcPr>
          <w:p w:rsidR="00BA5207" w:rsidRDefault="007D00D5">
            <w:pPr>
              <w:spacing w:line="240" w:lineRule="auto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货到验收合格后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个工作日内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一次性付清。</w:t>
            </w:r>
          </w:p>
        </w:tc>
      </w:tr>
      <w:bookmarkEnd w:id="0"/>
    </w:tbl>
    <w:p w:rsidR="00BA5207" w:rsidRDefault="00BA5207">
      <w:pPr>
        <w:rPr>
          <w:rFonts w:ascii="Times New Roman" w:eastAsia="宋体" w:hAnsi="Times New Roman" w:cs="Times New Roman"/>
          <w:color w:val="000000" w:themeColor="text1"/>
          <w:szCs w:val="28"/>
          <w:shd w:val="clear" w:color="auto" w:fill="FFFFFF"/>
        </w:rPr>
      </w:pPr>
    </w:p>
    <w:p w:rsidR="00BA5207" w:rsidRDefault="007D00D5">
      <w:pPr>
        <w:spacing w:line="240" w:lineRule="auto"/>
        <w:rPr>
          <w:rFonts w:ascii="Times New Roman" w:eastAsia="黑体" w:hAnsi="Times New Roman" w:cs="Times New Roman"/>
          <w:color w:val="000000"/>
          <w:szCs w:val="28"/>
        </w:rPr>
      </w:pPr>
      <w:r>
        <w:rPr>
          <w:noProof/>
        </w:rPr>
        <w:drawing>
          <wp:inline distT="0" distB="0" distL="0" distR="0">
            <wp:extent cx="2706370" cy="1916430"/>
            <wp:effectExtent l="0" t="0" r="6350" b="3810"/>
            <wp:docPr id="4" name="图片 4" descr="D:/库/桌面/微信图片_20260128094724_921_2.jpg微信图片_20260128094724_92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/库/桌面/微信图片_20260128094724_921_2.jpg微信图片_20260128094724_921_2"/>
                    <pic:cNvPicPr>
                      <a:picLocks noChangeAspect="1"/>
                    </pic:cNvPicPr>
                  </pic:nvPicPr>
                  <pic:blipFill>
                    <a:blip r:embed="rId7"/>
                    <a:srcRect l="9881" r="51492" b="50632"/>
                    <a:stretch>
                      <a:fillRect/>
                    </a:stretch>
                  </pic:blipFill>
                  <pic:spPr>
                    <a:xfrm>
                      <a:off x="0" y="0"/>
                      <a:ext cx="270637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5105" cy="1894205"/>
            <wp:effectExtent l="0" t="0" r="13335" b="10795"/>
            <wp:docPr id="5" name="图片 5" descr="D:/库/桌面/微信图片_20260128094724_921_2.jpg微信图片_20260128094724_921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/库/桌面/微信图片_20260128094724_921_2.jpg微信图片_20260128094724_921_2"/>
                    <pic:cNvPicPr>
                      <a:picLocks noChangeAspect="1"/>
                    </pic:cNvPicPr>
                  </pic:nvPicPr>
                  <pic:blipFill>
                    <a:blip r:embed="rId7"/>
                    <a:srcRect l="50340" r="10537" b="52003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207" w:rsidRDefault="007D00D5" w:rsidP="000600BB">
      <w:pPr>
        <w:ind w:firstLineChars="300" w:firstLine="840"/>
        <w:rPr>
          <w:rFonts w:ascii="Times New Roman" w:eastAsia="黑体" w:hAnsi="Times New Roman" w:cs="Times New Roman"/>
          <w:color w:val="000000"/>
          <w:szCs w:val="28"/>
        </w:rPr>
      </w:pPr>
      <w:r>
        <w:rPr>
          <w:rFonts w:ascii="Times New Roman" w:eastAsia="黑体" w:hAnsi="Times New Roman" w:cs="Times New Roman"/>
          <w:color w:val="000000"/>
          <w:szCs w:val="28"/>
        </w:rPr>
        <w:t>“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会员单位</w:t>
      </w:r>
      <w:r>
        <w:rPr>
          <w:rFonts w:ascii="Times New Roman" w:eastAsia="黑体" w:hAnsi="Times New Roman" w:cs="Times New Roman"/>
          <w:color w:val="000000"/>
          <w:szCs w:val="28"/>
        </w:rPr>
        <w:t>”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牌匾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12</w:t>
      </w:r>
      <w:r>
        <w:rPr>
          <w:rFonts w:ascii="Times New Roman" w:eastAsia="黑体" w:hAnsi="Times New Roman" w:cs="Times New Roman"/>
          <w:color w:val="000000"/>
          <w:szCs w:val="28"/>
        </w:rPr>
        <w:t>块</w:t>
      </w:r>
      <w:r>
        <w:rPr>
          <w:rFonts w:ascii="Times New Roman" w:eastAsia="黑体" w:hAnsi="Times New Roman" w:cs="Times New Roman"/>
          <w:color w:val="000000"/>
          <w:szCs w:val="28"/>
        </w:rPr>
        <w:t xml:space="preserve">           </w:t>
      </w:r>
      <w:r w:rsidR="000600BB">
        <w:rPr>
          <w:rFonts w:ascii="Times New Roman" w:eastAsia="黑体" w:hAnsi="Times New Roman" w:cs="Times New Roman" w:hint="eastAsia"/>
          <w:color w:val="000000"/>
          <w:szCs w:val="28"/>
        </w:rPr>
        <w:t xml:space="preserve"> </w:t>
      </w:r>
      <w:r>
        <w:rPr>
          <w:rFonts w:ascii="Times New Roman" w:eastAsia="黑体" w:hAnsi="Times New Roman" w:cs="Times New Roman"/>
          <w:color w:val="000000"/>
          <w:szCs w:val="28"/>
        </w:rPr>
        <w:t xml:space="preserve"> “</w:t>
      </w:r>
      <w:r>
        <w:rPr>
          <w:rFonts w:ascii="Times New Roman" w:eastAsia="黑体" w:hAnsi="Times New Roman" w:cs="Times New Roman"/>
          <w:color w:val="000000"/>
          <w:szCs w:val="28"/>
        </w:rPr>
        <w:t>理事单位</w:t>
      </w:r>
      <w:r>
        <w:rPr>
          <w:rFonts w:ascii="Times New Roman" w:eastAsia="黑体" w:hAnsi="Times New Roman" w:cs="Times New Roman"/>
          <w:color w:val="000000"/>
          <w:szCs w:val="28"/>
        </w:rPr>
        <w:t>”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牌匾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6</w:t>
      </w:r>
      <w:r>
        <w:rPr>
          <w:rFonts w:ascii="Times New Roman" w:eastAsia="黑体" w:hAnsi="Times New Roman" w:cs="Times New Roman"/>
          <w:color w:val="000000"/>
          <w:szCs w:val="28"/>
        </w:rPr>
        <w:t>块</w:t>
      </w:r>
    </w:p>
    <w:p w:rsidR="00BA5207" w:rsidRDefault="00BA5207">
      <w:pPr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BA5207">
      <w:pPr>
        <w:ind w:firstLineChars="250" w:firstLine="700"/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7D00D5">
      <w:pPr>
        <w:spacing w:line="240" w:lineRule="auto"/>
        <w:jc w:val="center"/>
        <w:rPr>
          <w:rFonts w:ascii="Times New Roman" w:eastAsia="黑体" w:hAnsi="Times New Roman" w:cs="Times New Roman"/>
          <w:color w:val="000000"/>
          <w:szCs w:val="28"/>
        </w:rPr>
      </w:pPr>
      <w:r>
        <w:rPr>
          <w:rFonts w:ascii="Times New Roman" w:eastAsia="宋体" w:hAnsi="Times New Roman" w:cs="Times New Roman" w:hint="eastAsia"/>
          <w:noProof/>
          <w:color w:val="000000" w:themeColor="text1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1905</wp:posOffset>
            </wp:positionV>
            <wp:extent cx="3990340" cy="1586230"/>
            <wp:effectExtent l="0" t="0" r="2540" b="13970"/>
            <wp:wrapNone/>
            <wp:docPr id="3" name="图片 3" descr="D:/库/桌面/微信图片_20260128085607_920_2.png微信图片_20260128085607_920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/库/桌面/微信图片_20260128085607_920_2.png微信图片_20260128085607_920_2"/>
                    <pic:cNvPicPr>
                      <a:picLocks noChangeAspect="1"/>
                    </pic:cNvPicPr>
                  </pic:nvPicPr>
                  <pic:blipFill>
                    <a:blip r:embed="rId8"/>
                    <a:srcRect l="19454" t="44445" r="17165" b="10774"/>
                    <a:stretch>
                      <a:fillRect/>
                    </a:stretch>
                  </pic:blipFill>
                  <pic:spPr>
                    <a:xfrm>
                      <a:off x="0" y="0"/>
                      <a:ext cx="3990340" cy="158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5207" w:rsidRDefault="00BA5207">
      <w:pPr>
        <w:spacing w:line="240" w:lineRule="auto"/>
        <w:jc w:val="center"/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BA5207">
      <w:pPr>
        <w:spacing w:line="240" w:lineRule="auto"/>
        <w:jc w:val="center"/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BA5207">
      <w:pPr>
        <w:spacing w:line="240" w:lineRule="auto"/>
        <w:jc w:val="center"/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BA5207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Cs w:val="28"/>
        </w:rPr>
      </w:pPr>
    </w:p>
    <w:p w:rsidR="00BA5207" w:rsidRDefault="007D00D5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Cs w:val="28"/>
        </w:rPr>
      </w:pPr>
      <w:r>
        <w:rPr>
          <w:rFonts w:ascii="Times New Roman" w:eastAsia="黑体" w:hAnsi="Times New Roman" w:cs="Times New Roman" w:hint="eastAsia"/>
          <w:color w:val="000000"/>
          <w:szCs w:val="28"/>
        </w:rPr>
        <w:t>宽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90mm</w:t>
      </w:r>
      <w:r>
        <w:rPr>
          <w:rFonts w:ascii="Times New Roman" w:eastAsia="宋体" w:hAnsi="Times New Roman" w:cs="Times New Roman"/>
          <w:color w:val="000000"/>
          <w:sz w:val="24"/>
          <w:szCs w:val="24"/>
        </w:rPr>
        <w:t>×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高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60mm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（横板），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207</w:t>
      </w:r>
      <w:r>
        <w:rPr>
          <w:rFonts w:ascii="Times New Roman" w:eastAsia="黑体" w:hAnsi="Times New Roman" w:cs="Times New Roman" w:hint="eastAsia"/>
          <w:color w:val="000000"/>
          <w:szCs w:val="28"/>
        </w:rPr>
        <w:t>个，按会员个人信息和相片制作，</w:t>
      </w:r>
    </w:p>
    <w:p w:rsidR="00BA5207" w:rsidRDefault="007D00D5">
      <w:pPr>
        <w:spacing w:line="400" w:lineRule="exact"/>
        <w:jc w:val="center"/>
        <w:rPr>
          <w:rFonts w:ascii="Times New Roman" w:eastAsia="黑体" w:hAnsi="Times New Roman" w:cs="Times New Roman"/>
          <w:color w:val="000000"/>
          <w:szCs w:val="28"/>
        </w:rPr>
      </w:pPr>
      <w:r>
        <w:rPr>
          <w:rFonts w:ascii="Times New Roman" w:eastAsia="黑体" w:hAnsi="Times New Roman" w:cs="Times New Roman" w:hint="eastAsia"/>
          <w:color w:val="000000"/>
          <w:szCs w:val="28"/>
        </w:rPr>
        <w:t>带个人信息的正面需印本协会公章</w:t>
      </w:r>
    </w:p>
    <w:sectPr w:rsidR="00BA5207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FA3" w:rsidRDefault="00210FA3">
      <w:pPr>
        <w:spacing w:line="240" w:lineRule="auto"/>
      </w:pPr>
      <w:r>
        <w:separator/>
      </w:r>
    </w:p>
  </w:endnote>
  <w:endnote w:type="continuationSeparator" w:id="0">
    <w:p w:rsidR="00210FA3" w:rsidRDefault="00210F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FA3" w:rsidRDefault="00210FA3">
      <w:pPr>
        <w:spacing w:line="240" w:lineRule="auto"/>
      </w:pPr>
      <w:r>
        <w:separator/>
      </w:r>
    </w:p>
  </w:footnote>
  <w:footnote w:type="continuationSeparator" w:id="0">
    <w:p w:rsidR="00210FA3" w:rsidRDefault="00210FA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13"/>
    <w:rsid w:val="000105A6"/>
    <w:rsid w:val="00026B53"/>
    <w:rsid w:val="00034B8A"/>
    <w:rsid w:val="0003529B"/>
    <w:rsid w:val="0004403F"/>
    <w:rsid w:val="000600BB"/>
    <w:rsid w:val="00066143"/>
    <w:rsid w:val="000709D5"/>
    <w:rsid w:val="00082DFE"/>
    <w:rsid w:val="000978FB"/>
    <w:rsid w:val="000A7EF3"/>
    <w:rsid w:val="000D03C5"/>
    <w:rsid w:val="000E7C5A"/>
    <w:rsid w:val="000F34CD"/>
    <w:rsid w:val="000F4C67"/>
    <w:rsid w:val="0011377E"/>
    <w:rsid w:val="00136B93"/>
    <w:rsid w:val="00141F9C"/>
    <w:rsid w:val="00167C74"/>
    <w:rsid w:val="00170249"/>
    <w:rsid w:val="00171B2F"/>
    <w:rsid w:val="00175F0B"/>
    <w:rsid w:val="0017776F"/>
    <w:rsid w:val="00185900"/>
    <w:rsid w:val="001E2CDD"/>
    <w:rsid w:val="002027BD"/>
    <w:rsid w:val="00207E24"/>
    <w:rsid w:val="00210FA3"/>
    <w:rsid w:val="002118C9"/>
    <w:rsid w:val="0021204C"/>
    <w:rsid w:val="002204FF"/>
    <w:rsid w:val="00227BB6"/>
    <w:rsid w:val="00230322"/>
    <w:rsid w:val="00233571"/>
    <w:rsid w:val="002337E2"/>
    <w:rsid w:val="0026296E"/>
    <w:rsid w:val="002821D7"/>
    <w:rsid w:val="00282F54"/>
    <w:rsid w:val="002871D7"/>
    <w:rsid w:val="00287CF4"/>
    <w:rsid w:val="00291223"/>
    <w:rsid w:val="002A6FD8"/>
    <w:rsid w:val="002C27A4"/>
    <w:rsid w:val="002C4CAB"/>
    <w:rsid w:val="002C7B82"/>
    <w:rsid w:val="00314E7F"/>
    <w:rsid w:val="00320DC0"/>
    <w:rsid w:val="00336FA1"/>
    <w:rsid w:val="00347166"/>
    <w:rsid w:val="0035128B"/>
    <w:rsid w:val="00362F69"/>
    <w:rsid w:val="00366991"/>
    <w:rsid w:val="00374281"/>
    <w:rsid w:val="003753B8"/>
    <w:rsid w:val="00375412"/>
    <w:rsid w:val="00382F0D"/>
    <w:rsid w:val="00383F2B"/>
    <w:rsid w:val="00387D08"/>
    <w:rsid w:val="003A337A"/>
    <w:rsid w:val="003A54CF"/>
    <w:rsid w:val="003A6F23"/>
    <w:rsid w:val="003A791A"/>
    <w:rsid w:val="003A7E37"/>
    <w:rsid w:val="003F58AA"/>
    <w:rsid w:val="0041566D"/>
    <w:rsid w:val="00416062"/>
    <w:rsid w:val="00423074"/>
    <w:rsid w:val="00436A7C"/>
    <w:rsid w:val="00457EFB"/>
    <w:rsid w:val="004657A5"/>
    <w:rsid w:val="0047015B"/>
    <w:rsid w:val="00472DE1"/>
    <w:rsid w:val="004878E3"/>
    <w:rsid w:val="004972EC"/>
    <w:rsid w:val="004B140C"/>
    <w:rsid w:val="004B6F0F"/>
    <w:rsid w:val="004C67FA"/>
    <w:rsid w:val="004D5F0E"/>
    <w:rsid w:val="004E1FA9"/>
    <w:rsid w:val="004E287A"/>
    <w:rsid w:val="004E2CCC"/>
    <w:rsid w:val="004E497A"/>
    <w:rsid w:val="004F26C0"/>
    <w:rsid w:val="004F631E"/>
    <w:rsid w:val="005048F7"/>
    <w:rsid w:val="0051060F"/>
    <w:rsid w:val="005114A5"/>
    <w:rsid w:val="00522781"/>
    <w:rsid w:val="0055353D"/>
    <w:rsid w:val="0056647D"/>
    <w:rsid w:val="0058550B"/>
    <w:rsid w:val="005B2177"/>
    <w:rsid w:val="005B695E"/>
    <w:rsid w:val="005C24A8"/>
    <w:rsid w:val="005C706E"/>
    <w:rsid w:val="005E18DF"/>
    <w:rsid w:val="005F7D99"/>
    <w:rsid w:val="00601DA2"/>
    <w:rsid w:val="0060501D"/>
    <w:rsid w:val="00632093"/>
    <w:rsid w:val="006442A0"/>
    <w:rsid w:val="00651ADA"/>
    <w:rsid w:val="00665213"/>
    <w:rsid w:val="00672E92"/>
    <w:rsid w:val="006849AC"/>
    <w:rsid w:val="00691BEA"/>
    <w:rsid w:val="006A00C8"/>
    <w:rsid w:val="006A4DF5"/>
    <w:rsid w:val="006D0B37"/>
    <w:rsid w:val="006D718C"/>
    <w:rsid w:val="006E1BDE"/>
    <w:rsid w:val="006E39CE"/>
    <w:rsid w:val="00700283"/>
    <w:rsid w:val="00704678"/>
    <w:rsid w:val="00721349"/>
    <w:rsid w:val="00734F80"/>
    <w:rsid w:val="00736FFB"/>
    <w:rsid w:val="00741DDC"/>
    <w:rsid w:val="007A1815"/>
    <w:rsid w:val="007A3809"/>
    <w:rsid w:val="007B73B4"/>
    <w:rsid w:val="007C2D26"/>
    <w:rsid w:val="007C4353"/>
    <w:rsid w:val="007D00D5"/>
    <w:rsid w:val="007D1771"/>
    <w:rsid w:val="007D1B66"/>
    <w:rsid w:val="007E13DE"/>
    <w:rsid w:val="007E5AC2"/>
    <w:rsid w:val="007F7980"/>
    <w:rsid w:val="008271D9"/>
    <w:rsid w:val="008379C3"/>
    <w:rsid w:val="0084119D"/>
    <w:rsid w:val="0087782A"/>
    <w:rsid w:val="008804AE"/>
    <w:rsid w:val="008870A1"/>
    <w:rsid w:val="00891B96"/>
    <w:rsid w:val="008977A8"/>
    <w:rsid w:val="008B31D1"/>
    <w:rsid w:val="008C3D59"/>
    <w:rsid w:val="008E04A7"/>
    <w:rsid w:val="008F4344"/>
    <w:rsid w:val="008F7B38"/>
    <w:rsid w:val="00922F0B"/>
    <w:rsid w:val="00923BFF"/>
    <w:rsid w:val="009313A1"/>
    <w:rsid w:val="00933B82"/>
    <w:rsid w:val="009619D2"/>
    <w:rsid w:val="009703BE"/>
    <w:rsid w:val="00980D5E"/>
    <w:rsid w:val="009844EA"/>
    <w:rsid w:val="00985058"/>
    <w:rsid w:val="009924E4"/>
    <w:rsid w:val="009C4570"/>
    <w:rsid w:val="009E14F9"/>
    <w:rsid w:val="009F7737"/>
    <w:rsid w:val="00A05222"/>
    <w:rsid w:val="00A1278E"/>
    <w:rsid w:val="00A14157"/>
    <w:rsid w:val="00A14657"/>
    <w:rsid w:val="00A16083"/>
    <w:rsid w:val="00A54DEC"/>
    <w:rsid w:val="00A74A1D"/>
    <w:rsid w:val="00A776FA"/>
    <w:rsid w:val="00A96583"/>
    <w:rsid w:val="00AA3C3B"/>
    <w:rsid w:val="00AE11F1"/>
    <w:rsid w:val="00B02E56"/>
    <w:rsid w:val="00B12C24"/>
    <w:rsid w:val="00B25ACE"/>
    <w:rsid w:val="00B50DD0"/>
    <w:rsid w:val="00B52FE8"/>
    <w:rsid w:val="00B602A7"/>
    <w:rsid w:val="00B63C13"/>
    <w:rsid w:val="00B6503E"/>
    <w:rsid w:val="00B76843"/>
    <w:rsid w:val="00B80C13"/>
    <w:rsid w:val="00B8628C"/>
    <w:rsid w:val="00B926D9"/>
    <w:rsid w:val="00BA5207"/>
    <w:rsid w:val="00BA7915"/>
    <w:rsid w:val="00BB22FD"/>
    <w:rsid w:val="00BC0A43"/>
    <w:rsid w:val="00BC68B2"/>
    <w:rsid w:val="00BE1AD4"/>
    <w:rsid w:val="00BE20C7"/>
    <w:rsid w:val="00C02078"/>
    <w:rsid w:val="00C1197B"/>
    <w:rsid w:val="00C17555"/>
    <w:rsid w:val="00C23AC3"/>
    <w:rsid w:val="00C3051D"/>
    <w:rsid w:val="00C30B14"/>
    <w:rsid w:val="00C54B03"/>
    <w:rsid w:val="00C60C29"/>
    <w:rsid w:val="00C745FF"/>
    <w:rsid w:val="00CA20FE"/>
    <w:rsid w:val="00CC0A34"/>
    <w:rsid w:val="00CD525D"/>
    <w:rsid w:val="00CD62B8"/>
    <w:rsid w:val="00CF26C5"/>
    <w:rsid w:val="00D0502C"/>
    <w:rsid w:val="00D07B34"/>
    <w:rsid w:val="00D12E97"/>
    <w:rsid w:val="00D179C3"/>
    <w:rsid w:val="00D23F20"/>
    <w:rsid w:val="00D41597"/>
    <w:rsid w:val="00D47390"/>
    <w:rsid w:val="00D50066"/>
    <w:rsid w:val="00D62080"/>
    <w:rsid w:val="00D70E18"/>
    <w:rsid w:val="00D775DE"/>
    <w:rsid w:val="00D9553A"/>
    <w:rsid w:val="00DB770E"/>
    <w:rsid w:val="00DF08CA"/>
    <w:rsid w:val="00E078D3"/>
    <w:rsid w:val="00E079C1"/>
    <w:rsid w:val="00E16735"/>
    <w:rsid w:val="00E23302"/>
    <w:rsid w:val="00E262F0"/>
    <w:rsid w:val="00E26ED4"/>
    <w:rsid w:val="00E43026"/>
    <w:rsid w:val="00E46D49"/>
    <w:rsid w:val="00E512F7"/>
    <w:rsid w:val="00E8101D"/>
    <w:rsid w:val="00E83259"/>
    <w:rsid w:val="00E927D9"/>
    <w:rsid w:val="00E938A0"/>
    <w:rsid w:val="00E96E0A"/>
    <w:rsid w:val="00E97202"/>
    <w:rsid w:val="00EA0A38"/>
    <w:rsid w:val="00EB29BB"/>
    <w:rsid w:val="00EB3C8A"/>
    <w:rsid w:val="00ED1B7E"/>
    <w:rsid w:val="00ED1C14"/>
    <w:rsid w:val="00ED1EE7"/>
    <w:rsid w:val="00ED4AAC"/>
    <w:rsid w:val="00EE6D65"/>
    <w:rsid w:val="00EF4D51"/>
    <w:rsid w:val="00EF744F"/>
    <w:rsid w:val="00F026F8"/>
    <w:rsid w:val="00F130CF"/>
    <w:rsid w:val="00F146EA"/>
    <w:rsid w:val="00F46342"/>
    <w:rsid w:val="00F53A9B"/>
    <w:rsid w:val="00F55D3E"/>
    <w:rsid w:val="00F61609"/>
    <w:rsid w:val="00F64240"/>
    <w:rsid w:val="00FA6C5C"/>
    <w:rsid w:val="00FB4E52"/>
    <w:rsid w:val="00FB64AD"/>
    <w:rsid w:val="00FD2370"/>
    <w:rsid w:val="00FF4F89"/>
    <w:rsid w:val="05A056BD"/>
    <w:rsid w:val="0CB24E92"/>
    <w:rsid w:val="0E7B2823"/>
    <w:rsid w:val="11867E5D"/>
    <w:rsid w:val="161D0664"/>
    <w:rsid w:val="2C5D75B5"/>
    <w:rsid w:val="305331A8"/>
    <w:rsid w:val="3E3A7756"/>
    <w:rsid w:val="475F070B"/>
    <w:rsid w:val="4B3043BA"/>
    <w:rsid w:val="4F2204BE"/>
    <w:rsid w:val="51303345"/>
    <w:rsid w:val="559519EA"/>
    <w:rsid w:val="5B280C0A"/>
    <w:rsid w:val="5EBA601D"/>
    <w:rsid w:val="63DC4C88"/>
    <w:rsid w:val="6407189D"/>
    <w:rsid w:val="6B036F9E"/>
    <w:rsid w:val="71685DAD"/>
    <w:rsid w:val="732E0930"/>
    <w:rsid w:val="745A5E80"/>
    <w:rsid w:val="7BCB1F28"/>
    <w:rsid w:val="7EDC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20" w:lineRule="exact"/>
    </w:pPr>
    <w:rPr>
      <w:sz w:val="28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520" w:lineRule="exact"/>
    </w:pPr>
    <w:rPr>
      <w:sz w:val="28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 w:line="240" w:lineRule="auto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qFormat/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142</Words>
  <Characters>812</Characters>
  <Application>Microsoft Office Word</Application>
  <DocSecurity>0</DocSecurity>
  <Lines>6</Lines>
  <Paragraphs>1</Paragraphs>
  <ScaleCrop>false</ScaleCrop>
  <Company>user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谢三亮</cp:lastModifiedBy>
  <cp:revision>172</cp:revision>
  <dcterms:created xsi:type="dcterms:W3CDTF">2023-04-03T23:48:00Z</dcterms:created>
  <dcterms:modified xsi:type="dcterms:W3CDTF">2026-01-28T02:27:00Z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eyJoZGlkIjoiNDdlMDJkMWY0NzMwOTMyNjM3YWM1MjE4YWZjMjliZmIiLCJ1c2VySWQiOiI5MjA2MDkyOTYifQ==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CD8B324D2B9E4CDEA82EC8EA81E492A5_13</vt:lpwstr>
  </property>
</Properties>
</file>